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99116" w14:textId="77777777" w:rsidR="00D00F0D" w:rsidRDefault="00D00F0D" w:rsidP="00D00F0D">
      <w:pPr>
        <w:autoSpaceDE w:val="0"/>
        <w:autoSpaceDN w:val="0"/>
        <w:spacing w:before="140" w:after="360"/>
        <w:ind w:left="1440" w:hanging="1440"/>
        <w:jc w:val="center"/>
        <w:rPr>
          <w:rFonts w:ascii="Times New Roman" w:hAnsi="Times New Roman"/>
          <w:color w:val="000000"/>
          <w:spacing w:val="-38"/>
          <w:sz w:val="60"/>
          <w:szCs w:val="60"/>
        </w:rPr>
      </w:pPr>
      <w:bookmarkStart w:id="0" w:name="_GoBack"/>
      <w:bookmarkEnd w:id="0"/>
      <w:r>
        <w:rPr>
          <w:rFonts w:ascii="Arial" w:hAnsi="Arial" w:cs="Arial"/>
          <w:noProof/>
          <w:color w:val="000000"/>
          <w:sz w:val="36"/>
          <w:szCs w:val="36"/>
        </w:rPr>
        <w:drawing>
          <wp:inline distT="0" distB="0" distL="0" distR="0" wp14:anchorId="4FE176A8" wp14:editId="1791ECF7">
            <wp:extent cx="1638300" cy="1266825"/>
            <wp:effectExtent l="0" t="0" r="0" b="9525"/>
            <wp:docPr id="1" name="Picture 1" descr="cid:image004.jpg@01D17EC5.E0499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17EC5.E04991F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638300" cy="1266825"/>
                    </a:xfrm>
                    <a:prstGeom prst="rect">
                      <a:avLst/>
                    </a:prstGeom>
                    <a:noFill/>
                    <a:ln>
                      <a:noFill/>
                    </a:ln>
                  </pic:spPr>
                </pic:pic>
              </a:graphicData>
            </a:graphic>
          </wp:inline>
        </w:drawing>
      </w:r>
    </w:p>
    <w:p w14:paraId="258FDC20" w14:textId="77777777" w:rsidR="00D00F0D" w:rsidRDefault="00D00F0D" w:rsidP="00D00F0D">
      <w:pPr>
        <w:autoSpaceDE w:val="0"/>
        <w:autoSpaceDN w:val="0"/>
        <w:spacing w:before="140" w:after="360"/>
        <w:ind w:left="1440" w:hanging="1440"/>
        <w:jc w:val="both"/>
        <w:rPr>
          <w:rFonts w:ascii="Times New Roman" w:hAnsi="Times New Roman"/>
          <w:spacing w:val="-38"/>
          <w:sz w:val="60"/>
          <w:szCs w:val="60"/>
        </w:rPr>
      </w:pPr>
      <w:r>
        <w:rPr>
          <w:rFonts w:ascii="Arial" w:hAnsi="Arial" w:cs="Arial"/>
          <w:b/>
          <w:bCs/>
          <w:sz w:val="44"/>
          <w:szCs w:val="44"/>
        </w:rPr>
        <w:t xml:space="preserve">Memorandum            </w:t>
      </w:r>
    </w:p>
    <w:p w14:paraId="1AFC7704" w14:textId="77777777" w:rsidR="00D00F0D" w:rsidRDefault="00D00F0D" w:rsidP="00D00F0D">
      <w:pPr>
        <w:autoSpaceDE w:val="0"/>
        <w:autoSpaceDN w:val="0"/>
        <w:ind w:left="1440" w:hanging="1440"/>
        <w:jc w:val="both"/>
        <w:rPr>
          <w:sz w:val="28"/>
          <w:szCs w:val="28"/>
        </w:rPr>
      </w:pPr>
      <w:r>
        <w:rPr>
          <w:b/>
          <w:bCs/>
          <w:spacing w:val="-4"/>
          <w:sz w:val="28"/>
          <w:szCs w:val="28"/>
        </w:rPr>
        <w:t>To:</w:t>
      </w:r>
      <w:r>
        <w:rPr>
          <w:sz w:val="28"/>
          <w:szCs w:val="28"/>
        </w:rPr>
        <w:t>                             State Association Executive Directors and Commissioners</w:t>
      </w:r>
    </w:p>
    <w:p w14:paraId="626EA18D" w14:textId="77777777" w:rsidR="00D00F0D" w:rsidRDefault="00D00F0D" w:rsidP="00D00F0D">
      <w:pPr>
        <w:autoSpaceDE w:val="0"/>
        <w:autoSpaceDN w:val="0"/>
        <w:ind w:left="1440" w:hanging="1440"/>
        <w:jc w:val="both"/>
        <w:rPr>
          <w:sz w:val="28"/>
          <w:szCs w:val="28"/>
        </w:rPr>
      </w:pPr>
      <w:r>
        <w:rPr>
          <w:sz w:val="28"/>
          <w:szCs w:val="28"/>
        </w:rPr>
        <w:t> </w:t>
      </w:r>
    </w:p>
    <w:p w14:paraId="49389AE7" w14:textId="77777777" w:rsidR="00D00F0D" w:rsidRDefault="00D00F0D" w:rsidP="00D00F0D">
      <w:pPr>
        <w:autoSpaceDE w:val="0"/>
        <w:autoSpaceDN w:val="0"/>
        <w:ind w:left="1440" w:hanging="1440"/>
        <w:jc w:val="both"/>
        <w:outlineLvl w:val="0"/>
        <w:rPr>
          <w:sz w:val="28"/>
          <w:szCs w:val="28"/>
        </w:rPr>
      </w:pPr>
      <w:r>
        <w:rPr>
          <w:b/>
          <w:bCs/>
          <w:spacing w:val="-4"/>
          <w:sz w:val="28"/>
          <w:szCs w:val="28"/>
        </w:rPr>
        <w:t>From:</w:t>
      </w:r>
      <w:r>
        <w:rPr>
          <w:sz w:val="28"/>
          <w:szCs w:val="28"/>
        </w:rPr>
        <w:t>                        Bob Gardner, NFHS Executive Director</w:t>
      </w:r>
    </w:p>
    <w:p w14:paraId="1B9B735A" w14:textId="77777777" w:rsidR="00D00F0D" w:rsidRDefault="00D00F0D" w:rsidP="00D00F0D">
      <w:pPr>
        <w:autoSpaceDE w:val="0"/>
        <w:autoSpaceDN w:val="0"/>
        <w:ind w:left="1440" w:firstLine="720"/>
        <w:jc w:val="both"/>
        <w:rPr>
          <w:sz w:val="28"/>
          <w:szCs w:val="28"/>
        </w:rPr>
      </w:pPr>
      <w:r>
        <w:rPr>
          <w:sz w:val="28"/>
          <w:szCs w:val="28"/>
        </w:rPr>
        <w:t xml:space="preserve">Michael Koester, M.D., Chair of the NFHS SMAC  </w:t>
      </w:r>
    </w:p>
    <w:p w14:paraId="35A4F898" w14:textId="77777777" w:rsidR="00D00F0D" w:rsidRDefault="00D00F0D" w:rsidP="00D00F0D">
      <w:pPr>
        <w:autoSpaceDE w:val="0"/>
        <w:autoSpaceDN w:val="0"/>
        <w:jc w:val="both"/>
        <w:rPr>
          <w:sz w:val="28"/>
          <w:szCs w:val="28"/>
        </w:rPr>
      </w:pPr>
    </w:p>
    <w:p w14:paraId="14E1C234" w14:textId="77777777" w:rsidR="00D00F0D" w:rsidRDefault="00D00F0D" w:rsidP="00D00F0D">
      <w:pPr>
        <w:autoSpaceDE w:val="0"/>
        <w:autoSpaceDN w:val="0"/>
        <w:ind w:left="1440" w:hanging="1440"/>
        <w:jc w:val="both"/>
        <w:rPr>
          <w:sz w:val="28"/>
          <w:szCs w:val="28"/>
        </w:rPr>
      </w:pPr>
      <w:r>
        <w:rPr>
          <w:b/>
          <w:bCs/>
          <w:spacing w:val="-4"/>
          <w:sz w:val="28"/>
          <w:szCs w:val="28"/>
        </w:rPr>
        <w:t>Subject:</w:t>
      </w:r>
      <w:r>
        <w:rPr>
          <w:sz w:val="28"/>
          <w:szCs w:val="28"/>
        </w:rPr>
        <w:t>                    Media Reports on New Blood Test for Concussion</w:t>
      </w:r>
    </w:p>
    <w:p w14:paraId="33E3F658" w14:textId="77777777" w:rsidR="00D00F0D" w:rsidRDefault="00D00F0D" w:rsidP="00D00F0D">
      <w:pPr>
        <w:autoSpaceDE w:val="0"/>
        <w:autoSpaceDN w:val="0"/>
        <w:jc w:val="both"/>
        <w:rPr>
          <w:sz w:val="28"/>
          <w:szCs w:val="28"/>
        </w:rPr>
      </w:pPr>
    </w:p>
    <w:p w14:paraId="4B6E6350" w14:textId="77777777" w:rsidR="00D00F0D" w:rsidRDefault="00D00F0D" w:rsidP="00D00F0D">
      <w:pPr>
        <w:autoSpaceDE w:val="0"/>
        <w:autoSpaceDN w:val="0"/>
        <w:spacing w:after="240"/>
        <w:ind w:left="1440" w:hanging="1440"/>
        <w:jc w:val="both"/>
        <w:rPr>
          <w:sz w:val="28"/>
          <w:szCs w:val="28"/>
        </w:rPr>
      </w:pPr>
      <w:r>
        <w:rPr>
          <w:b/>
          <w:bCs/>
          <w:spacing w:val="-4"/>
          <w:sz w:val="28"/>
          <w:szCs w:val="28"/>
        </w:rPr>
        <w:t>Date:</w:t>
      </w:r>
      <w:r>
        <w:rPr>
          <w:sz w:val="28"/>
          <w:szCs w:val="28"/>
        </w:rPr>
        <w:t>                         February 15, 2018</w:t>
      </w:r>
    </w:p>
    <w:p w14:paraId="64E4C9A1" w14:textId="77777777" w:rsidR="00D00F0D" w:rsidRDefault="00D00F0D" w:rsidP="00D00F0D">
      <w:pPr>
        <w:autoSpaceDE w:val="0"/>
        <w:autoSpaceDN w:val="0"/>
        <w:spacing w:after="240"/>
        <w:ind w:left="1440" w:hanging="1440"/>
        <w:jc w:val="both"/>
        <w:rPr>
          <w:sz w:val="28"/>
          <w:szCs w:val="28"/>
        </w:rPr>
      </w:pPr>
    </w:p>
    <w:p w14:paraId="38180FF6" w14:textId="77777777" w:rsidR="00D00F0D" w:rsidRDefault="00D00F0D" w:rsidP="00D00F0D">
      <w:pPr>
        <w:rPr>
          <w:sz w:val="28"/>
          <w:szCs w:val="28"/>
        </w:rPr>
      </w:pPr>
      <w:r>
        <w:rPr>
          <w:sz w:val="28"/>
          <w:szCs w:val="28"/>
        </w:rPr>
        <w:t>Recent reports in the media have highlighted the United States Food and Drug Administration (FDA) approval of a blood test used for diagnosing a “concussion” (Link to FDA News Release):  </w:t>
      </w:r>
      <w:hyperlink r:id="rId6" w:history="1">
        <w:r>
          <w:rPr>
            <w:rStyle w:val="Hyperlink"/>
            <w:color w:val="auto"/>
            <w:sz w:val="28"/>
            <w:szCs w:val="28"/>
          </w:rPr>
          <w:t>https://www.fda.gov/NewsEvents/Newsroom/PressAnnouncements/ucm596531.htm</w:t>
        </w:r>
      </w:hyperlink>
    </w:p>
    <w:p w14:paraId="0E292E7B" w14:textId="77777777" w:rsidR="00D00F0D" w:rsidRDefault="00D00F0D" w:rsidP="00D00F0D">
      <w:pPr>
        <w:rPr>
          <w:sz w:val="28"/>
          <w:szCs w:val="28"/>
        </w:rPr>
      </w:pPr>
    </w:p>
    <w:p w14:paraId="5CE8DD8D" w14:textId="77777777" w:rsidR="00D00F0D" w:rsidRDefault="00D00F0D" w:rsidP="00D00F0D">
      <w:pPr>
        <w:rPr>
          <w:sz w:val="28"/>
          <w:szCs w:val="28"/>
        </w:rPr>
      </w:pPr>
      <w:r>
        <w:rPr>
          <w:sz w:val="28"/>
          <w:szCs w:val="28"/>
        </w:rPr>
        <w:t>Unfortunately, the stories are inaccurate.  The test is not actually designed for detecting a sports-related concussion, as defined by the 5</w:t>
      </w:r>
      <w:r>
        <w:rPr>
          <w:sz w:val="28"/>
          <w:szCs w:val="28"/>
          <w:vertAlign w:val="superscript"/>
        </w:rPr>
        <w:t>th</w:t>
      </w:r>
      <w:r>
        <w:rPr>
          <w:sz w:val="28"/>
          <w:szCs w:val="28"/>
        </w:rPr>
        <w:t xml:space="preserve"> International Conference on Concussion in Sport, but for assessing the probability that the injured person has bleeding in the brain.  By definition, the presence of bleeding in the brain after injury is NOT a concussion, but an even more serious traumatic brain injury.  The test is also not yet approved for anyone under the age of 18.</w:t>
      </w:r>
    </w:p>
    <w:p w14:paraId="6C886541" w14:textId="77777777" w:rsidR="00D00F0D" w:rsidRDefault="00D00F0D" w:rsidP="00D00F0D">
      <w:pPr>
        <w:rPr>
          <w:sz w:val="28"/>
          <w:szCs w:val="28"/>
        </w:rPr>
      </w:pPr>
      <w:r>
        <w:rPr>
          <w:sz w:val="28"/>
          <w:szCs w:val="28"/>
        </w:rPr>
        <w:t> </w:t>
      </w:r>
    </w:p>
    <w:p w14:paraId="47A15231" w14:textId="77777777" w:rsidR="00D00F0D" w:rsidRDefault="00D00F0D" w:rsidP="00D00F0D">
      <w:pPr>
        <w:rPr>
          <w:sz w:val="28"/>
          <w:szCs w:val="28"/>
        </w:rPr>
      </w:pPr>
      <w:r>
        <w:rPr>
          <w:sz w:val="28"/>
          <w:szCs w:val="28"/>
        </w:rPr>
        <w:t xml:space="preserve">At this time, this test holds little value for the vast majority of youth and high school athletes with a suspected concussion.  The test was not designed for use on the sideline or in the athletic training room.  And, importantly, even if the test is “negative” it does not rule out a concussion.  If used, the test will be ordered by </w:t>
      </w:r>
      <w:r>
        <w:rPr>
          <w:sz w:val="28"/>
          <w:szCs w:val="28"/>
        </w:rPr>
        <w:lastRenderedPageBreak/>
        <w:t>a physician in the Emergency Department to help determine if a CT scan of the brain is needed to look for bleeding in the brain.</w:t>
      </w:r>
    </w:p>
    <w:p w14:paraId="12DB0B14" w14:textId="77777777" w:rsidR="00D00F0D" w:rsidRDefault="00D00F0D" w:rsidP="00D00F0D">
      <w:pPr>
        <w:rPr>
          <w:sz w:val="28"/>
          <w:szCs w:val="28"/>
        </w:rPr>
      </w:pPr>
    </w:p>
    <w:p w14:paraId="7844B99B" w14:textId="77777777" w:rsidR="00D00F0D" w:rsidRDefault="00D00F0D" w:rsidP="00D00F0D">
      <w:pPr>
        <w:rPr>
          <w:sz w:val="28"/>
          <w:szCs w:val="28"/>
        </w:rPr>
      </w:pPr>
      <w:r>
        <w:rPr>
          <w:sz w:val="28"/>
          <w:szCs w:val="28"/>
        </w:rPr>
        <w:t xml:space="preserve">There should be no change in the current management of a suspected concussion (Link to NFHS Position Statement on Management of Concussion in Sports): </w:t>
      </w:r>
      <w:hyperlink r:id="rId7" w:history="1">
        <w:r>
          <w:rPr>
            <w:rStyle w:val="Hyperlink"/>
            <w:color w:val="auto"/>
            <w:sz w:val="28"/>
            <w:szCs w:val="28"/>
          </w:rPr>
          <w:t>http://www.nfhs.org/media/1018446/suggested_guidelines__management_concussion_april_2017.pdf</w:t>
        </w:r>
      </w:hyperlink>
      <w:r>
        <w:rPr>
          <w:sz w:val="28"/>
          <w:szCs w:val="28"/>
        </w:rPr>
        <w:t xml:space="preserve">  </w:t>
      </w:r>
    </w:p>
    <w:p w14:paraId="7F916A1D" w14:textId="77777777" w:rsidR="00D00F0D" w:rsidRDefault="00D00F0D" w:rsidP="00D00F0D">
      <w:pPr>
        <w:rPr>
          <w:sz w:val="28"/>
          <w:szCs w:val="28"/>
        </w:rPr>
      </w:pPr>
    </w:p>
    <w:p w14:paraId="08A0CFA7" w14:textId="77777777" w:rsidR="00D00F0D" w:rsidRDefault="00D00F0D" w:rsidP="00D00F0D">
      <w:pPr>
        <w:spacing w:before="240"/>
        <w:rPr>
          <w:sz w:val="28"/>
          <w:szCs w:val="28"/>
        </w:rPr>
      </w:pPr>
      <w:r>
        <w:rPr>
          <w:sz w:val="28"/>
          <w:szCs w:val="28"/>
        </w:rPr>
        <w:t>Thanks,</w:t>
      </w:r>
    </w:p>
    <w:p w14:paraId="1C4AE98D" w14:textId="77777777" w:rsidR="00D00F0D" w:rsidRDefault="00D00F0D" w:rsidP="00D00F0D">
      <w:pPr>
        <w:spacing w:before="240"/>
        <w:rPr>
          <w:color w:val="1F3864"/>
          <w:sz w:val="28"/>
          <w:szCs w:val="28"/>
        </w:rPr>
      </w:pPr>
    </w:p>
    <w:p w14:paraId="00EE7C53" w14:textId="77777777" w:rsidR="00D00F0D" w:rsidRDefault="00D00F0D" w:rsidP="00D00F0D">
      <w:pPr>
        <w:rPr>
          <w:sz w:val="28"/>
          <w:szCs w:val="28"/>
        </w:rPr>
      </w:pPr>
      <w:r>
        <w:rPr>
          <w:sz w:val="28"/>
          <w:szCs w:val="28"/>
        </w:rPr>
        <w:t>Michael Koester, M.D.</w:t>
      </w:r>
    </w:p>
    <w:p w14:paraId="5824352C" w14:textId="77777777" w:rsidR="00D00F0D" w:rsidRDefault="00D00F0D" w:rsidP="00D00F0D">
      <w:pPr>
        <w:rPr>
          <w:sz w:val="28"/>
          <w:szCs w:val="28"/>
        </w:rPr>
      </w:pPr>
      <w:r>
        <w:rPr>
          <w:sz w:val="28"/>
          <w:szCs w:val="28"/>
        </w:rPr>
        <w:t>Chair – NFHS Sports Medicine Advisory Committee (SMAC)</w:t>
      </w:r>
    </w:p>
    <w:p w14:paraId="0018BB98" w14:textId="77777777" w:rsidR="00396C80" w:rsidRDefault="00396C80"/>
    <w:sectPr w:rsidR="00396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0D"/>
    <w:rsid w:val="00396C80"/>
    <w:rsid w:val="006B4C17"/>
    <w:rsid w:val="00D0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B79E"/>
  <w15:chartTrackingRefBased/>
  <w15:docId w15:val="{2C3F39AB-4A61-45C7-8B49-BBD59DD4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F0D"/>
    <w:rPr>
      <w:rFonts w:ascii="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0F0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56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cid:image001.jpg@01D3173A.79639DF0" TargetMode="External"/><Relationship Id="rId6" Type="http://schemas.openxmlformats.org/officeDocument/2006/relationships/hyperlink" Target="https://www.fda.gov/NewsEvents/Newsroom/PressAnnouncements/ucm596531.htm" TargetMode="External"/><Relationship Id="rId7" Type="http://schemas.openxmlformats.org/officeDocument/2006/relationships/hyperlink" Target="http://www.nfhs.org/media/1018446/suggested_guidelines__management_concussion_april_2017.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Ross</dc:creator>
  <cp:keywords/>
  <dc:description/>
  <cp:lastModifiedBy>Liana Finer</cp:lastModifiedBy>
  <cp:revision>2</cp:revision>
  <dcterms:created xsi:type="dcterms:W3CDTF">2018-02-28T22:39:00Z</dcterms:created>
  <dcterms:modified xsi:type="dcterms:W3CDTF">2018-02-28T22:39:00Z</dcterms:modified>
</cp:coreProperties>
</file>